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DE0" w:rsidRPr="003B7E5A" w:rsidRDefault="000F4DE0" w:rsidP="000F4DE0">
      <w:pPr>
        <w:shd w:val="clear" w:color="auto" w:fill="FFFFFF" w:themeFill="background1"/>
        <w:ind w:left="-567" w:firstLine="283"/>
        <w:jc w:val="both"/>
        <w:rPr>
          <w:b/>
          <w:bCs/>
        </w:rPr>
      </w:pPr>
      <w:r w:rsidRPr="003B7E5A">
        <w:rPr>
          <w:b/>
          <w:bCs/>
        </w:rPr>
        <w:t>Лекция 14. Порядок предоставления лимитов. Кассовое исполнение бюджетов.</w:t>
      </w:r>
    </w:p>
    <w:p w:rsidR="000F4DE0" w:rsidRPr="003B7E5A" w:rsidRDefault="000F4DE0" w:rsidP="000F4DE0">
      <w:pPr>
        <w:pStyle w:val="a3"/>
        <w:shd w:val="clear" w:color="auto" w:fill="FFFFFF" w:themeFill="background1"/>
        <w:spacing w:before="0" w:beforeAutospacing="0" w:after="0" w:afterAutospacing="0"/>
        <w:ind w:left="-567" w:firstLine="283"/>
        <w:jc w:val="both"/>
        <w:textAlignment w:val="baseline"/>
        <w:rPr>
          <w:b/>
        </w:rPr>
      </w:pPr>
      <w:r w:rsidRPr="003B7E5A">
        <w:rPr>
          <w:b/>
        </w:rPr>
        <w:t>Общие положения</w:t>
      </w:r>
    </w:p>
    <w:p w:rsidR="000F4DE0" w:rsidRPr="003B7E5A" w:rsidRDefault="000F4DE0" w:rsidP="000F4DE0">
      <w:pPr>
        <w:pStyle w:val="a3"/>
        <w:shd w:val="clear" w:color="auto" w:fill="FFFFFF" w:themeFill="background1"/>
        <w:spacing w:before="0" w:beforeAutospacing="0" w:after="0" w:afterAutospacing="0"/>
        <w:ind w:left="-567" w:firstLine="283"/>
        <w:jc w:val="both"/>
        <w:textAlignment w:val="baseline"/>
      </w:pPr>
      <w:r w:rsidRPr="003B7E5A">
        <w:t>      1. Настоящие Правила определения лимита правительственного долга и долга местного исполнительного органа, лимитов предоставления государственных гарантий и поручительств государства (далее - Правила) разработаны в соответствии с Бюджетным кодексом Республики Казахстан от 4 декабря 2008 года (далее - Бюджетный кодекс) и определяют порядок определения лимита правительственного долга и долга местного исполнительного органа, лимитов предоставления государственных гарантий и поручительств государства.</w:t>
      </w:r>
      <w:r w:rsidRPr="003B7E5A">
        <w:br/>
        <w:t>      2. Размер лимитов правительственного долга и долга местного исполнительного органа, лимитов предоставления государственных гарантий и поручительств государства округляется с точностью до тысячи тенге.</w:t>
      </w:r>
    </w:p>
    <w:p w:rsidR="000F4DE0" w:rsidRPr="003B7E5A" w:rsidRDefault="000F4DE0" w:rsidP="000F4DE0">
      <w:pPr>
        <w:pStyle w:val="a3"/>
        <w:shd w:val="clear" w:color="auto" w:fill="FFFFFF" w:themeFill="background1"/>
        <w:spacing w:before="0" w:beforeAutospacing="0" w:after="0" w:afterAutospacing="0"/>
        <w:ind w:left="-567" w:firstLine="283"/>
        <w:jc w:val="both"/>
        <w:textAlignment w:val="baseline"/>
      </w:pPr>
      <w:r w:rsidRPr="003B7E5A">
        <w:t>2. Порядок определения лимита правительственного долга и</w:t>
      </w:r>
      <w:r w:rsidRPr="003B7E5A">
        <w:br/>
        <w:t>долга местных исполнительных органов</w:t>
      </w:r>
    </w:p>
    <w:p w:rsidR="000F4DE0" w:rsidRPr="003B7E5A" w:rsidRDefault="000F4DE0" w:rsidP="000F4DE0">
      <w:pPr>
        <w:pStyle w:val="a3"/>
        <w:shd w:val="clear" w:color="auto" w:fill="FFFFFF" w:themeFill="background1"/>
        <w:spacing w:before="0" w:beforeAutospacing="0" w:after="0" w:afterAutospacing="0"/>
        <w:ind w:left="-567" w:firstLine="283"/>
        <w:jc w:val="both"/>
        <w:textAlignment w:val="baseline"/>
      </w:pPr>
      <w:r w:rsidRPr="003B7E5A">
        <w:t>      3. Лимит правительственного долга на соответствующий финансовый год формируется исходя из лимита правительственного долга на конец года, предшествующего планируемому финансовому году, общего объема финансирования дефицита республиканского бюджета за счет правительственного заимствования на внутреннем рынке и правительственного заимствования на внешнем рынке в планируемом финансовом году в соответствии с приложением 1 к настоящим Правилам и вносится на рассмотрение республиканской бюджетной комиссии.</w:t>
      </w:r>
      <w:r w:rsidRPr="003B7E5A">
        <w:br/>
        <w:t>      4. Объем расходов на погашение и обслуживание долга местного исполнительного органа не должен превышать размера, равного десяти процентам от доходов местного бюджета на соответствующий финансовый год.</w:t>
      </w:r>
      <w:r w:rsidRPr="003B7E5A">
        <w:br/>
        <w:t>      5. Для определения лимита долга местных исполнительных органов областей, города республиканского значения, столицы на соответствующий финансовый год используются данные центрального уполномоченного органа по исполнению бюджета о состоянии долга местных исполнительных органов на начало планируемого периода.</w:t>
      </w:r>
      <w:r w:rsidRPr="003B7E5A">
        <w:br/>
        <w:t>      6. В случаях, когда заимствование местными исполнительными органами областей осуществляется в виде получения займов от Правительства Республики Казахстан, лимит долга формируется с учетом заимствования в планируемом финансовом году и объема средств местного бюджета, направляемых на погашение долга соответствующего местного исполнительного органа.</w:t>
      </w:r>
      <w:r w:rsidRPr="003B7E5A">
        <w:br/>
        <w:t>      7. В случаях, когда заимствование местными исполнительными органами города республиканского значения, столицы осуществляется в виде получения займов от Правительства Республики Казахстан и выпуска местными исполнительными органами города республиканского значения, столицы государственных ценных бумаг для обращения на внутреннем рынке для финансирования дефицита бюджета города республиканского значения, столицы:</w:t>
      </w:r>
      <w:r w:rsidRPr="003B7E5A">
        <w:br/>
        <w:t>      1) лимит долга формируется с учетом представленных местным исполнительным органом города республиканского значения, столицы расчетов возможности самостоятельно обслуживать и погашать свои долги;</w:t>
      </w:r>
    </w:p>
    <w:p w:rsidR="000F4DE0" w:rsidRPr="003B7E5A" w:rsidRDefault="000F4DE0" w:rsidP="000F4DE0">
      <w:pPr>
        <w:pStyle w:val="a3"/>
        <w:shd w:val="clear" w:color="auto" w:fill="FFFFFF" w:themeFill="background1"/>
        <w:spacing w:before="0" w:beforeAutospacing="0" w:after="0" w:afterAutospacing="0"/>
        <w:ind w:left="-567" w:firstLine="283"/>
        <w:jc w:val="both"/>
        <w:textAlignment w:val="baseline"/>
      </w:pPr>
      <w:r w:rsidRPr="003B7E5A">
        <w:t xml:space="preserve">   2) расчет лимита осуществляется исходя из доходов бюджета местного исполнительного органа города республиканского значения, столицы, соответствующих объему налоговых и неналоговых поступлений и поступлений от </w:t>
      </w:r>
      <w:r w:rsidRPr="003B7E5A">
        <w:lastRenderedPageBreak/>
        <w:t>продажи основного капитала за минусом бюджетных изъятий (далее - собственные доходы).</w:t>
      </w:r>
    </w:p>
    <w:p w:rsidR="000F4DE0" w:rsidRPr="003B7E5A" w:rsidRDefault="000F4DE0" w:rsidP="000F4DE0">
      <w:pPr>
        <w:pStyle w:val="a3"/>
        <w:shd w:val="clear" w:color="auto" w:fill="FFFFFF" w:themeFill="background1"/>
        <w:spacing w:before="0" w:beforeAutospacing="0" w:after="0" w:afterAutospacing="0"/>
        <w:ind w:left="-567" w:firstLine="283"/>
        <w:jc w:val="both"/>
        <w:textAlignment w:val="baseline"/>
      </w:pPr>
      <w:r w:rsidRPr="003B7E5A">
        <w:t>      8. Центральный уполномоченный орган по государственному планированию определяет лимит долга местных исполнительных органов областей, города республиканского значения, столицы на планируемый финансовый год, по формулам согласно приложению 2 к настоящим Правилам и направляет на утверждение в Правительство Республики Казахстан в срок до 1 августа года, предшествующего планируемому.</w:t>
      </w:r>
    </w:p>
    <w:p w:rsidR="000F4DE0" w:rsidRPr="003B7E5A" w:rsidRDefault="000F4DE0" w:rsidP="000F4DE0">
      <w:pPr>
        <w:pStyle w:val="a3"/>
        <w:shd w:val="clear" w:color="auto" w:fill="FFFFFF" w:themeFill="background1"/>
        <w:spacing w:before="0" w:beforeAutospacing="0" w:after="0" w:afterAutospacing="0"/>
        <w:ind w:left="-567" w:firstLine="283"/>
        <w:jc w:val="both"/>
        <w:textAlignment w:val="baseline"/>
      </w:pPr>
      <w:r w:rsidRPr="003B7E5A">
        <w:t>3. Порядок определения лимита предоставления государственных</w:t>
      </w:r>
      <w:r w:rsidRPr="003B7E5A">
        <w:br/>
        <w:t>гарантий и поручительств государства</w:t>
      </w:r>
    </w:p>
    <w:p w:rsidR="000F4DE0" w:rsidRPr="003B7E5A" w:rsidRDefault="000F4DE0" w:rsidP="000F4DE0">
      <w:pPr>
        <w:pStyle w:val="a3"/>
        <w:shd w:val="clear" w:color="auto" w:fill="FFFFFF" w:themeFill="background1"/>
        <w:spacing w:before="0" w:beforeAutospacing="0" w:after="0" w:afterAutospacing="0"/>
        <w:ind w:left="-567" w:firstLine="283"/>
        <w:jc w:val="both"/>
        <w:textAlignment w:val="baseline"/>
      </w:pPr>
      <w:r w:rsidRPr="003B7E5A">
        <w:t>      9. Лимит предоставления государственных гарантий и поручительств государства на соответствующий год формируется исходя из объемов дохода республиканского бюджета в планируемом финансовом году, затрат на обслуживание и погашение правительственного долга, гарантированного государством долга и долга по поручительствам государства в последний трехлетний период, предшествующий году разработки республиканского бюджета.</w:t>
      </w:r>
      <w:r w:rsidRPr="003B7E5A">
        <w:br/>
        <w:t>      10. Центральный уполномоченный орган по государственному планированию определяет лимиты предоставления государственных гарантий и поручительств государства на соответствующий финансовый год по формулам согласно приложению 3 к настоящим Правилам и вносит на рассмотрение республиканской бюджетной комиссии соответствующие предложения по лимиту предоставления государственных гарантий и поручительств государства на соответствующий финансовый год.</w:t>
      </w:r>
    </w:p>
    <w:p w:rsidR="000F4DE0" w:rsidRPr="003B7E5A" w:rsidRDefault="000F4DE0" w:rsidP="000F4DE0">
      <w:pPr>
        <w:shd w:val="clear" w:color="auto" w:fill="FFFFFF" w:themeFill="background1"/>
        <w:ind w:left="-567" w:firstLine="283"/>
        <w:jc w:val="both"/>
        <w:outlineLvl w:val="0"/>
        <w:rPr>
          <w:b/>
          <w:bCs/>
          <w:kern w:val="36"/>
        </w:rPr>
      </w:pPr>
      <w:r w:rsidRPr="003B7E5A">
        <w:rPr>
          <w:b/>
          <w:bCs/>
          <w:kern w:val="36"/>
        </w:rPr>
        <w:t>Кассовое исполнение бюджета</w:t>
      </w:r>
    </w:p>
    <w:p w:rsidR="000F4DE0" w:rsidRPr="003B7E5A" w:rsidRDefault="000F4DE0" w:rsidP="000F4DE0">
      <w:pPr>
        <w:shd w:val="clear" w:color="auto" w:fill="FFFFFF" w:themeFill="background1"/>
        <w:ind w:left="-567" w:firstLine="283"/>
        <w:jc w:val="both"/>
      </w:pPr>
      <w:r w:rsidRPr="003B7E5A">
        <w:t>Особенностью казначейской системы является то, что при ней исполнение бюджета осуществляется не Центральным банком, а органами исполнительной власти. С переходом на данную систему функции банка ограничиваются, однако он сохраняет за собой ряд важных полномочий, к числу которых относится кассовое исполнение бюджета. Под кассовым исполнением государственного бюджета понимается совокупность операций, связанных с получением денежных средств в бюджет и их выдачей, а также учетом наличия средств, которые производятся в ходе исполнения бюджета. Все связанные с этим платежи и расчеты осуществляются Центральным банком, его учреждениями и уполномоченными кредитными организациями.</w:t>
      </w:r>
    </w:p>
    <w:p w:rsidR="000F4DE0" w:rsidRPr="003B7E5A" w:rsidRDefault="000F4DE0" w:rsidP="000F4DE0">
      <w:pPr>
        <w:shd w:val="clear" w:color="auto" w:fill="FFFFFF" w:themeFill="background1"/>
        <w:ind w:left="-567" w:firstLine="283"/>
        <w:jc w:val="both"/>
      </w:pPr>
      <w:r w:rsidRPr="003B7E5A">
        <w:t>К функциям учреждений Центрального банка относятся: принятие и зачисление средств, которые поступают в доходы бюджета; распределение доходов между федеральным и региональными бюджетами, отчисления от доходов в местные бюджеты; а также выдача бюджетных средств в пределах сумм, имеющихся на соответствующих счетах. Банковские учреждения ведут учет доходов и расходов бюджета. На этой основе ими составляются отчеты о кассовом исполнении бюджета, которые направляются вышестоящей организации и государственным финансовым органам. Учреждения Центрального банка производят расчетное и кассовое обслуживание бюджетных организаций, они осуществляют контроль при выдаче бюджетных и внебюджетных средств.</w:t>
      </w:r>
    </w:p>
    <w:p w:rsidR="000F4DE0" w:rsidRPr="003B7E5A" w:rsidRDefault="000F4DE0" w:rsidP="000F4DE0">
      <w:pPr>
        <w:shd w:val="clear" w:color="auto" w:fill="FFFFFF" w:themeFill="background1"/>
        <w:ind w:left="-567" w:firstLine="283"/>
        <w:jc w:val="both"/>
      </w:pPr>
      <w:r w:rsidRPr="003B7E5A">
        <w:t>Для учета доходов, поступающих в бюджет государства, а также распределяемых между бюджетами разных уровней, в учреждениях Центрального банка открываются лицевые счета. Такие счета создаются отдельно для каждого вида платежа по каждому финансовому органу и каждому учреждению, администрирующему данный вид доходов.</w:t>
      </w:r>
    </w:p>
    <w:p w:rsidR="000F4DE0" w:rsidRPr="003B7E5A" w:rsidRDefault="000F4DE0" w:rsidP="000F4DE0">
      <w:pPr>
        <w:shd w:val="clear" w:color="auto" w:fill="FFFFFF" w:themeFill="background1"/>
        <w:ind w:left="-567" w:firstLine="283"/>
        <w:jc w:val="both"/>
      </w:pPr>
      <w:r w:rsidRPr="003B7E5A">
        <w:t>Платежи в бюджет зачисляются следующим образом. Если тот или иной вид доходов полностью поступает в федеральный бюджет или в бюджет того субъекта, на территории был собран, то он зачисляется учреждениями ЦБ в соответствующий бюджет по месту поступления. Если же доход подлежит зачислению в бюджет другого региона или предусматривает отчисления в местные бюджеты, то он перечисляется другим учреждениям Центрального банка. Для распределения поступивших доходов между бюджетами разных уровней учреждения ЦБ составляют ведомость распределения доходов. Такие ведомости составляются по каждому финансовому органу на основании данных соответствующих лицевых счетов.</w:t>
      </w:r>
    </w:p>
    <w:p w:rsidR="000F4DE0" w:rsidRPr="003B7E5A" w:rsidRDefault="000F4DE0" w:rsidP="000F4DE0">
      <w:pPr>
        <w:shd w:val="clear" w:color="auto" w:fill="FFFFFF" w:themeFill="background1"/>
        <w:ind w:left="-567" w:firstLine="283"/>
        <w:jc w:val="both"/>
      </w:pPr>
      <w:r w:rsidRPr="003B7E5A">
        <w:t>Средства бюджетным организациям выдаются в соответствии с классификацией расходов, а также схемой ежемесячного отчета ЦБ о кассовом исполнении бюджета и оформления полномочий на распоряжение бюджетными счетами. Перечисление средств с одного бюджетного счета организации на другой производиться не может, за исключением некоторых специально оговоренных случаев (например, в связи с неправильно произведенными расходами).</w:t>
      </w:r>
    </w:p>
    <w:p w:rsidR="000F4DE0" w:rsidRPr="003B7E5A" w:rsidRDefault="000F4DE0" w:rsidP="000F4DE0">
      <w:pPr>
        <w:shd w:val="clear" w:color="auto" w:fill="FFFFFF" w:themeFill="background1"/>
        <w:ind w:left="-567" w:firstLine="283"/>
        <w:jc w:val="both"/>
      </w:pPr>
      <w:r w:rsidRPr="003B7E5A">
        <w:t>Распорядителям бюджетных средств открываются отдельные счета в учреждениях ЦБ: на расходы самого учреждения и для перевода средств подведомственным организациям, а также на централизованные мероприятия, проводимые распорядителем по этим организациям. На текущие счета подведомственных организаций средства перечисляются по поручениям распорядителей.</w:t>
      </w:r>
    </w:p>
    <w:p w:rsidR="00E11383" w:rsidRDefault="00E11383">
      <w:bookmarkStart w:id="0" w:name="_GoBack"/>
      <w:bookmarkEnd w:id="0"/>
    </w:p>
    <w:sectPr w:rsidR="00E11383" w:rsidSect="00E11383">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DE0"/>
    <w:rsid w:val="000F4DE0"/>
    <w:rsid w:val="00E1138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1B136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DE0"/>
    <w:rPr>
      <w:rFonts w:ascii="Times New Roman" w:eastAsia="Times New Roman" w:hAnsi="Times New Roman"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rsid w:val="000F4DE0"/>
    <w:pPr>
      <w:spacing w:before="100" w:beforeAutospacing="1" w:after="100" w:afterAutospacing="1"/>
    </w:pPr>
    <w:rPr>
      <w:rFonts w:ascii="Arial Unicode MS" w:eastAsia="Arial Unicode MS" w:hAnsi="Arial Unicode MS" w:cs="Arial Unicode MS"/>
      <w:color w:val="000000"/>
      <w:lang w:eastAsia="ru-RU"/>
    </w:rPr>
  </w:style>
  <w:style w:type="character" w:customStyle="1" w:styleId="a4">
    <w:name w:val="Обычный (веб) Знак"/>
    <w:basedOn w:val="a0"/>
    <w:link w:val="a3"/>
    <w:uiPriority w:val="99"/>
    <w:rsid w:val="000F4DE0"/>
    <w:rPr>
      <w:rFonts w:ascii="Arial Unicode MS" w:eastAsia="Arial Unicode MS" w:hAnsi="Arial Unicode MS" w:cs="Arial Unicode MS"/>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DE0"/>
    <w:rPr>
      <w:rFonts w:ascii="Times New Roman" w:eastAsia="Times New Roman" w:hAnsi="Times New Roman"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rsid w:val="000F4DE0"/>
    <w:pPr>
      <w:spacing w:before="100" w:beforeAutospacing="1" w:after="100" w:afterAutospacing="1"/>
    </w:pPr>
    <w:rPr>
      <w:rFonts w:ascii="Arial Unicode MS" w:eastAsia="Arial Unicode MS" w:hAnsi="Arial Unicode MS" w:cs="Arial Unicode MS"/>
      <w:color w:val="000000"/>
      <w:lang w:eastAsia="ru-RU"/>
    </w:rPr>
  </w:style>
  <w:style w:type="character" w:customStyle="1" w:styleId="a4">
    <w:name w:val="Обычный (веб) Знак"/>
    <w:basedOn w:val="a0"/>
    <w:link w:val="a3"/>
    <w:uiPriority w:val="99"/>
    <w:rsid w:val="000F4DE0"/>
    <w:rPr>
      <w:rFonts w:ascii="Arial Unicode MS" w:eastAsia="Arial Unicode MS" w:hAnsi="Arial Unicode MS" w:cs="Arial Unicode M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1151</Words>
  <Characters>6564</Characters>
  <Application>Microsoft Macintosh Word</Application>
  <DocSecurity>0</DocSecurity>
  <Lines>54</Lines>
  <Paragraphs>15</Paragraphs>
  <ScaleCrop>false</ScaleCrop>
  <Company>Dom</Company>
  <LinksUpToDate>false</LinksUpToDate>
  <CharactersWithSpaces>7700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Эрик Бахыт</dc:creator>
  <cp:keywords/>
  <dc:description/>
  <cp:lastModifiedBy>Эрик Бахыт</cp:lastModifiedBy>
  <cp:revision>1</cp:revision>
  <dcterms:created xsi:type="dcterms:W3CDTF">2021-01-27T18:28:00Z</dcterms:created>
  <dcterms:modified xsi:type="dcterms:W3CDTF">2021-01-27T18:28:00Z</dcterms:modified>
</cp:coreProperties>
</file>